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5.png" ContentType="image/png"/>
  <Override PartName="/word/media/rId289.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295.png" ContentType="image/png"/>
  <Override PartName="/word/media/rId201.png" ContentType="image/png"/>
  <Override PartName="/word/media/rId234.png" ContentType="image/png"/>
  <Override PartName="/word/media/rId237.png" ContentType="image/png"/>
  <Override PartName="/word/media/rId241.png" ContentType="image/png"/>
  <Override PartName="/word/media/rId244.png" ContentType="image/png"/>
  <Override PartName="/word/media/rId247.png" ContentType="image/png"/>
  <Override PartName="/word/media/rId251.png" ContentType="image/png"/>
  <Override PartName="/word/media/rId255.png" ContentType="image/png"/>
  <Override PartName="/word/media/rId258.png" ContentType="image/png"/>
  <Override PartName="/word/media/rId26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7.png" ContentType="image/png"/>
  <Override PartName="/word/media/rId222.png" ContentType="image/png"/>
  <Override PartName="/word/media/rId227.png" ContentType="image/png"/>
  <Override PartName="/word/media/rId230.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277.png" ContentType="image/png"/>
  <Override PartName="/word/media/rId273.png" ContentType="image/png"/>
  <Override PartName="/word/media/rId280.png" ContentType="image/png"/>
  <Override PartName="/word/media/rId91.png" ContentType="image/png"/>
  <Override PartName="/word/media/rId167.png" ContentType="image/png"/>
  <Override PartName="/word/media/rId81.png" ContentType="image/png"/>
  <Override PartName="/word/media/rId154.png" ContentType="image/png"/>
  <Override PartName="/word/media/rId163.png" ContentType="image/png"/>
  <Override PartName="/word/media/rId171.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9652d0b</w:t>
        </w:r>
      </w:hyperlink>
      <w:r>
        <w:t xml:space="preserve"> </w:t>
      </w:r>
      <w:r>
        <w:t xml:space="preserve">de February 7,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9652d0b del 07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9652d0b</w:t>
            </w:r>
            <w:r>
              <w:t xml:space="preserve"> </w:t>
            </w:r>
            <w:r>
              <w:t xml:space="preserve">del 07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p>
        </w:tc>
        <w:tc>
          <w:tcPr/>
          <w:p>
            <w:pPr>
              <w:pStyle w:val="Compact"/>
              <w:jc w:val="left"/>
            </w:pPr>
            <w:r>
              <w:t xml:space="preserve">Tema</w:t>
            </w:r>
          </w:p>
        </w:tc>
      </w:tr>
    </w:tbl>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debe incluir entre sus objetivos, como mínimo, los siguientes</w:t>
      </w:r>
    </w:p>
    <w:p>
      <w:pPr>
        <w:pStyle w:val="Textoindependiente"/>
      </w:pPr>
      <w:r>
        <w:drawing>
          <wp:inline>
            <wp:extent cx="5600700" cy="3267074"/>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9652d0b</w:t>
            </w:r>
            <w:r>
              <w:t xml:space="preserve"> </w:t>
            </w:r>
            <w:r>
              <w:t xml:space="preserve">del 07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9652d0b</w:t>
            </w:r>
            <w:r>
              <w:t xml:space="preserve"> </w:t>
            </w:r>
            <w:r>
              <w:t xml:space="preserve">del 07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80"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9652d0b</w:t>
            </w:r>
            <w:r>
              <w:t xml:space="preserve"> </w:t>
            </w:r>
            <w:r>
              <w:t xml:space="preserve">del 07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para el FNA es clave mantener activo el vínculo de sus activos tanto de infraestructura como los activos SOA (y de todos, aunque se escapen del alcance de este ejercicio) con el contexto de negocio de las vicepresidencias de Operaciones y de Crédito</w:t>
      </w:r>
      <w:r>
        <w:t xml:space="preserve">. Esto es, el principal indicador del gobierno SOA es la existencia y actualidad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9652d0b</w:t>
            </w:r>
            <w:r>
              <w:t xml:space="preserve"> </w:t>
            </w:r>
            <w:r>
              <w:t xml:space="preserve">del 07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5"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Un Marco de trabajo adaptado para la organización que responde y gestiona los cambios evolutivos de la arquitectura de referencia SOA instalada en el Fondo. Esta versión del marco de gobierno, que necesariamente es una versión inicial para el FNA dado el resultado del análisis de madurez de la Fase 1, procura únicamente la gestión de cambios de la arquitectura. Versiones posteriores de este modelo puede y deberá abordar problemáticas señaladas por nuevos análisis.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bookmarkEnd w:id="166"/>
    <w:bookmarkStart w:id="170" w:name="X802b6048edc5ed7cd034d9036d554bc89e00fc6"/>
    <w:p>
      <w:pPr>
        <w:pStyle w:val="Ttulo3"/>
      </w:pPr>
      <w:r>
        <w:t xml:space="preserve">Equpo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y componentes, infraestructura tecnológica y redes, aplicaciones de solución y herramientas de software y del especialista de las estructuras de negocio e información. Estos recursos deben ser preferiblemente internos a la organización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4" w:name="proceso-de-gobierno-soa-para-el-fna"/>
    <w:p>
      <w:pPr>
        <w:pStyle w:val="Ttulo3"/>
      </w:pPr>
      <w:r>
        <w:t xml:space="preserve">Proceso de Gobierno SOA para el FNA</w:t>
      </w:r>
    </w:p>
    <w:p>
      <w:pPr>
        <w:pStyle w:val="FirstParagraph"/>
      </w:pPr>
      <w:r>
        <w:t xml:space="preserve">Por último, el proceso de gobierno SOA es la conjugación de las dos condiciones aquí presentadas, el marco de trabajo (acciones y herramientas) y el equipo de trabajo, que son los recursos de capital humano y sus intereacciones. Este proceso adaptado al FNA busca alcanzar los objetivos SOA determinados por este diagnóstico. (ver imagen abajo)</w:t>
      </w:r>
    </w:p>
    <w:p>
      <w:pPr>
        <w:pStyle w:val="Figure"/>
      </w:pPr>
      <w:r>
        <w:drawing>
          <wp:inline>
            <wp:extent cx="5600700" cy="2139593"/>
            <wp:effectExtent b="0" l="0" r="0" t="0"/>
            <wp:docPr descr="" title="" id="172" name="Picture"/>
            <a:graphic>
              <a:graphicData uri="http://schemas.openxmlformats.org/drawingml/2006/picture">
                <pic:pic>
                  <pic:nvPicPr>
                    <pic:cNvPr descr="images/proceso-gob.png" id="173" name="Picture"/>
                    <pic:cNvPicPr>
                      <a:picLocks noChangeArrowheads="1" noChangeAspect="1"/>
                    </pic:cNvPicPr>
                  </pic:nvPicPr>
                  <pic:blipFill>
                    <a:blip r:embed="rId17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De esa manera, las capacidades SOA relacionadas con este proceso buscan lograr los objetivos SOA establecidos por esta consultoría y que el FNA debe perseguir.</w:t>
      </w:r>
    </w:p>
    <w:bookmarkEnd w:id="174"/>
    <w:bookmarkEnd w:id="175"/>
    <w:bookmarkStart w:id="176" w:name="anexos"/>
    <w:p>
      <w:pPr>
        <w:pStyle w:val="Ttulo2"/>
      </w:pPr>
      <w:r>
        <w:t xml:space="preserve">Anexos</w:t>
      </w:r>
    </w:p>
    <w:bookmarkEnd w:id="176"/>
    <w:bookmarkStart w:id="178" w:name="procedimiento-del-área-ti-del-fna"/>
    <w:p>
      <w:pPr>
        <w:pStyle w:val="Ttulo2"/>
      </w:pPr>
      <w:r>
        <w:t xml:space="preserve">1. Procedimiento del Área TI del FNA</w:t>
      </w:r>
    </w:p>
    <w:p>
      <w:pPr>
        <w:pStyle w:val="FirstParagraph"/>
      </w:pPr>
      <w:r>
        <w:t xml:space="preserve">Anexo en línea.</w:t>
      </w:r>
      <w:r>
        <w:t xml:space="preserve"> </w:t>
      </w:r>
      <w:hyperlink r:id="rId177">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78"/>
    <w:bookmarkStart w:id="179"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bookmarkEnd w:id="179"/>
    <w:bookmarkEnd w:id="180"/>
    <w:bookmarkStart w:id="181" w:name="fase-2-soa-objetivo-fna-2"/>
    <w:p>
      <w:pPr>
        <w:pStyle w:val="Ttulo1"/>
      </w:pPr>
      <w:r>
        <w:t xml:space="preserve">Fase 2: SOA Objetivo FNA</w:t>
      </w:r>
    </w:p>
    <w:bookmarkEnd w:id="181"/>
    <w:bookmarkStart w:id="182" w:name="X024845d8147b634bd34f6993612268e32f0d607"/>
    <w:p>
      <w:pPr>
        <w:pStyle w:val="Ttulo1"/>
      </w:pPr>
      <w:r>
        <w:t xml:space="preserve">Contenido de los Productos Contractuales, 181-2020</w:t>
      </w:r>
    </w:p>
    <w:bookmarkEnd w:id="182"/>
    <w:bookmarkStart w:id="266"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3"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3"/>
    <w:bookmarkStart w:id="184"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4"/>
    <w:bookmarkStart w:id="185"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9652d0b del 07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5"/>
    <w:bookmarkStart w:id="192" w:name="tecnologías-soa-afines-al-fna"/>
    <w:p>
      <w:pPr>
        <w:pStyle w:val="Ttulo2"/>
      </w:pPr>
      <w:r>
        <w:t xml:space="preserve">Tecnologías SOA Afines al FNA</w:t>
      </w:r>
    </w:p>
    <w:bookmarkStart w:id="186" w:name="arquitecturas-orientadas-a-servicios-soa"/>
    <w:p>
      <w:pPr>
        <w:pStyle w:val="Ttulo3"/>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bookmarkEnd w:id="186"/>
    <w:bookmarkStart w:id="187" w:name="diseño-y-granularidad-de-los-servicios"/>
    <w:p>
      <w:pPr>
        <w:pStyle w:val="Ttulo3"/>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bookmarkEnd w:id="187"/>
    <w:bookmarkStart w:id="188" w:name="mecanismos-de-comunicación"/>
    <w:p>
      <w:pPr>
        <w:pStyle w:val="Ttulo3"/>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bookmarkEnd w:id="188"/>
    <w:bookmarkStart w:id="189" w:name="arquitecturas-monolíticas-y-servicios"/>
    <w:p>
      <w:pPr>
        <w:pStyle w:val="Ttulo3"/>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bookmarkEnd w:id="189"/>
    <w:bookmarkStart w:id="190" w:name="localización-y-orquestación"/>
    <w:p>
      <w:pPr>
        <w:pStyle w:val="Ttulo3"/>
      </w:pPr>
      <w:r>
        <w:t xml:space="preserve">Localización y Orquestación</w:t>
      </w:r>
    </w:p>
    <w:p>
      <w:pPr>
        <w:pStyle w:val="FirstParagraph"/>
      </w:pPr>
      <w:r>
        <w:t xml:space="preserve">Otro aspecto a considerar es el uso de tecnologías para la localización</w:t>
      </w:r>
      <w:r>
        <w:t xml:space="preserve"> </w:t>
      </w:r>
      <w:r>
        <w:t xml:space="preserve">y orquestación de servicios. Hasta hace unos años, el bus de servicios</w:t>
      </w:r>
      <w:r>
        <w:t xml:space="preserve"> </w:t>
      </w:r>
      <w:r>
        <w:t xml:space="preserve">(ESB) era una parte fundamental de los ecosistemas de tecnología de las</w:t>
      </w:r>
      <w:r>
        <w:t xml:space="preserve"> </w:t>
      </w:r>
      <w:r>
        <w:t xml:space="preserve">organizaciones, fundamentalmente en esquemas de despliegue on-premises.</w:t>
      </w:r>
      <w:r>
        <w:t xml:space="preserve"> </w:t>
      </w:r>
      <w:r>
        <w:t xml:space="preserve">Los ESB se convirtieron en pieza fundamental para la orquestación de</w:t>
      </w:r>
      <w:r>
        <w:t xml:space="preserve"> </w:t>
      </w:r>
      <w:r>
        <w:t xml:space="preserve">servicios y para la construcción de soluciones basadas en llamados</w:t>
      </w:r>
      <w:r>
        <w:t xml:space="preserve"> </w:t>
      </w:r>
      <w:r>
        <w:t xml:space="preserve">sincrónicos entre servicios. Este esquema funciona, cuando en general</w:t>
      </w:r>
      <w:r>
        <w:t xml:space="preserve"> </w:t>
      </w:r>
      <w:r>
        <w:t xml:space="preserve">todas las aplicaciones involucradas se encuentran desplegadas en un</w:t>
      </w:r>
      <w:r>
        <w:t xml:space="preserve"> </w:t>
      </w:r>
      <w:r>
        <w:t xml:space="preserve">mismo ambiente (por ejemplo: on-premises). Sin embargo, con la llegada</w:t>
      </w:r>
      <w:r>
        <w:t xml:space="preserve"> </w:t>
      </w:r>
      <w:r>
        <w:t xml:space="preserve">de la nube y el despliegue de soluciones en este ambiente, los ESB no</w:t>
      </w:r>
      <w:r>
        <w:t xml:space="preserve"> </w:t>
      </w:r>
      <w:r>
        <w:t xml:space="preserve">encajan perfectamente, ni tampoco ofrecen soluciones claras para</w:t>
      </w:r>
      <w:r>
        <w:t xml:space="preserve"> </w:t>
      </w:r>
      <w:r>
        <w:t xml:space="preserve">arquitecturas no monolíticas y heterogéneas.</w:t>
      </w:r>
    </w:p>
    <w:bookmarkEnd w:id="190"/>
    <w:bookmarkStart w:id="191" w:name="reflexiones"/>
    <w:p>
      <w:pPr>
        <w:pStyle w:val="Ttulo3"/>
      </w:pPr>
      <w:r>
        <w:t xml:space="preserve">Reflexiones</w:t>
      </w:r>
    </w:p>
    <w:p>
      <w:pPr>
        <w:pStyle w:val="FirstParagraph"/>
      </w:pPr>
      <w:r>
        <w:t xml:space="preserve">Si bien SOA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 se han convertido en algo más híbrido, con el</w:t>
      </w:r>
      <w:r>
        <w:t xml:space="preserve"> </w:t>
      </w:r>
      <w:r>
        <w:t xml:space="preserve">uso de soluciones on-premises mediades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ESBs siguen siendo utilizados y la inversión realizada en estas</w:t>
      </w:r>
      <w:r>
        <w:t xml:space="preserve"> </w:t>
      </w:r>
      <w:r>
        <w:t xml:space="preserve">soluciones debe seguir siendo recuperada, es importante gradualmente ir</w:t>
      </w:r>
      <w:r>
        <w:t xml:space="preserve"> </w:t>
      </w:r>
      <w:r>
        <w:t xml:space="preserve">considerando una migración a soluciones basadas en eventos, colas de</w:t>
      </w:r>
      <w:r>
        <w:t xml:space="preserve"> </w:t>
      </w:r>
      <w:r>
        <w:t xml:space="preserve">mensajes y esquemas de comunicación más orientados a la nube, somo los</w:t>
      </w:r>
      <w:r>
        <w:t xml:space="preserve"> </w:t>
      </w:r>
      <w:r>
        <w:t xml:space="preserve">service-mesh.</w:t>
      </w:r>
    </w:p>
    <w:bookmarkEnd w:id="191"/>
    <w:bookmarkEnd w:id="192"/>
    <w:bookmarkStart w:id="265"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APIs(API Economy), Arquitecturas</w:t>
      </w:r>
      <w:r>
        <w:t xml:space="preserve"> </w:t>
      </w:r>
      <w:r>
        <w:t xml:space="preserve">Orientadas a Eventos, y mecanismos alternativos para la orquestación y</w:t>
      </w:r>
      <w:r>
        <w:t xml:space="preserve"> </w:t>
      </w:r>
      <w:r>
        <w:t xml:space="preserve">comunicación sincrónica de microservicios (Service-Mesh).</w:t>
      </w:r>
    </w:p>
    <w:bookmarkStart w:id="199"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entre socios de</w:t>
      </w:r>
      <w:r>
        <w:t xml:space="preserve"> </w:t>
      </w:r>
      <w:r>
        <w:t xml:space="preserve">negocio y clientes finales.</w:t>
      </w:r>
    </w:p>
    <w:bookmarkStart w:id="193"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3"/>
    <w:bookmarkStart w:id="198"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4"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4"/>
    <w:bookmarkStart w:id="195"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5"/>
    <w:bookmarkStart w:id="196"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6"/>
    <w:bookmarkStart w:id="197"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bookmarkEnd w:id="197"/>
    <w:bookmarkEnd w:id="198"/>
    <w:bookmarkEnd w:id="199"/>
    <w:bookmarkStart w:id="221"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0"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0"/>
    <w:bookmarkStart w:id="216"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2" name="Picture"/>
            <a:graphic>
              <a:graphicData uri="http://schemas.openxmlformats.org/drawingml/2006/picture">
                <pic:pic>
                  <pic:nvPicPr>
                    <pic:cNvPr descr="./images/media/image1.png" id="203" name="Picture"/>
                    <pic:cNvPicPr>
                      <a:picLocks noChangeArrowheads="1" noChangeAspect="1"/>
                    </pic:cNvPicPr>
                  </pic:nvPicPr>
                  <pic:blipFill>
                    <a:blip r:embed="rId201"/>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5" name="Picture"/>
            <a:graphic>
              <a:graphicData uri="http://schemas.openxmlformats.org/drawingml/2006/picture">
                <pic:pic>
                  <pic:nvPicPr>
                    <pic:cNvPr descr="./images/media/image2.png" id="206" name="Picture"/>
                    <pic:cNvPicPr>
                      <a:picLocks noChangeArrowheads="1" noChangeAspect="1"/>
                    </pic:cNvPicPr>
                  </pic:nvPicPr>
                  <pic:blipFill>
                    <a:blip r:embed="rId204"/>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8" name="Picture"/>
            <a:graphic>
              <a:graphicData uri="http://schemas.openxmlformats.org/drawingml/2006/picture">
                <pic:pic>
                  <pic:nvPicPr>
                    <pic:cNvPr descr="./images/media/image3.png" id="209" name="Picture"/>
                    <pic:cNvPicPr>
                      <a:picLocks noChangeArrowheads="1" noChangeAspect="1"/>
                    </pic:cNvPicPr>
                  </pic:nvPicPr>
                  <pic:blipFill>
                    <a:blip r:embed="rId207"/>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1" name="Picture"/>
            <a:graphic>
              <a:graphicData uri="http://schemas.openxmlformats.org/drawingml/2006/picture">
                <pic:pic>
                  <pic:nvPicPr>
                    <pic:cNvPr descr="./images/media/image4.png" id="212" name="Picture"/>
                    <pic:cNvPicPr>
                      <a:picLocks noChangeArrowheads="1" noChangeAspect="1"/>
                    </pic:cNvPicPr>
                  </pic:nvPicPr>
                  <pic:blipFill>
                    <a:blip r:embed="rId210"/>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4" name="Picture"/>
            <a:graphic>
              <a:graphicData uri="http://schemas.openxmlformats.org/drawingml/2006/picture">
                <pic:pic>
                  <pic:nvPicPr>
                    <pic:cNvPr descr="./images/media/image5.png" id="215" name="Picture"/>
                    <pic:cNvPicPr>
                      <a:picLocks noChangeArrowheads="1" noChangeAspect="1"/>
                    </pic:cNvPicPr>
                  </pic:nvPicPr>
                  <pic:blipFill>
                    <a:blip r:embed="rId213"/>
                    <a:stretch>
                      <a:fillRect/>
                    </a:stretch>
                  </pic:blipFill>
                  <pic:spPr bwMode="auto">
                    <a:xfrm>
                      <a:off x="0" y="0"/>
                      <a:ext cx="2723515" cy="2465070"/>
                    </a:xfrm>
                    <a:prstGeom prst="rect">
                      <a:avLst/>
                    </a:prstGeom>
                    <a:noFill/>
                    <a:ln w="9525">
                      <a:noFill/>
                      <a:headEnd/>
                      <a:tailEnd/>
                    </a:ln>
                  </pic:spPr>
                </pic:pic>
              </a:graphicData>
            </a:graphic>
          </wp:inline>
        </w:drawing>
      </w:r>
    </w:p>
    <w:bookmarkEnd w:id="216"/>
    <w:bookmarkStart w:id="220"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8" name="Picture"/>
            <a:graphic>
              <a:graphicData uri="http://schemas.openxmlformats.org/drawingml/2006/picture">
                <pic:pic>
                  <pic:nvPicPr>
                    <pic:cNvPr descr="./images/media/image6.png" id="219" name="Picture"/>
                    <pic:cNvPicPr>
                      <a:picLocks noChangeArrowheads="1" noChangeAspect="1"/>
                    </pic:cNvPicPr>
                  </pic:nvPicPr>
                  <pic:blipFill>
                    <a:blip r:embed="rId217"/>
                    <a:stretch>
                      <a:fillRect/>
                    </a:stretch>
                  </pic:blipFill>
                  <pic:spPr bwMode="auto">
                    <a:xfrm>
                      <a:off x="0" y="0"/>
                      <a:ext cx="3476625" cy="3052445"/>
                    </a:xfrm>
                    <a:prstGeom prst="rect">
                      <a:avLst/>
                    </a:prstGeom>
                    <a:noFill/>
                    <a:ln w="9525">
                      <a:noFill/>
                      <a:headEnd/>
                      <a:tailEnd/>
                    </a:ln>
                  </pic:spPr>
                </pic:pic>
              </a:graphicData>
            </a:graphic>
          </wp:inline>
        </w:drawing>
      </w:r>
    </w:p>
    <w:bookmarkEnd w:id="220"/>
    <w:bookmarkEnd w:id="221"/>
    <w:bookmarkStart w:id="225"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3" name="Picture"/>
            <a:graphic>
              <a:graphicData uri="http://schemas.openxmlformats.org/drawingml/2006/picture">
                <pic:pic>
                  <pic:nvPicPr>
                    <pic:cNvPr descr="./images/media/image7.png" id="224" name="Picture"/>
                    <pic:cNvPicPr>
                      <a:picLocks noChangeArrowheads="1" noChangeAspect="1"/>
                    </pic:cNvPicPr>
                  </pic:nvPicPr>
                  <pic:blipFill>
                    <a:blip r:embed="rId222"/>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p>
    <w:bookmarkEnd w:id="225"/>
    <w:bookmarkStart w:id="226" w:name="Xf1d018995caf2bd7a7e48082a31af663f78d34b"/>
    <w:p>
      <w:pPr>
        <w:pStyle w:val="Ttulo3"/>
      </w:pPr>
      <w:r>
        <w:t xml:space="preserve">Tomado de: https://www.crosser.io/blog/posts/why-the-next-generation-enterprise-service-bus-esb-needs-to-be-intelligent/</w:t>
      </w:r>
    </w:p>
    <w:p>
      <w:pPr>
        <w:pStyle w:val="FirstParagraph"/>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6"/>
    <w:bookmarkStart w:id="233"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8" name="Picture"/>
            <a:graphic>
              <a:graphicData uri="http://schemas.openxmlformats.org/drawingml/2006/picture">
                <pic:pic>
                  <pic:nvPicPr>
                    <pic:cNvPr descr="./images/media/image8.png" id="229" name="Picture"/>
                    <pic:cNvPicPr>
                      <a:picLocks noChangeArrowheads="1" noChangeAspect="1"/>
                    </pic:cNvPicPr>
                  </pic:nvPicPr>
                  <pic:blipFill>
                    <a:blip r:embed="rId227"/>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1" name="Picture"/>
            <a:graphic>
              <a:graphicData uri="http://schemas.openxmlformats.org/drawingml/2006/picture">
                <pic:pic>
                  <pic:nvPicPr>
                    <pic:cNvPr descr="./images/media/image9.png" id="232" name="Picture"/>
                    <pic:cNvPicPr>
                      <a:picLocks noChangeArrowheads="1" noChangeAspect="1"/>
                    </pic:cNvPicPr>
                  </pic:nvPicPr>
                  <pic:blipFill>
                    <a:blip r:embed="rId230"/>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bookmarkEnd w:id="233"/>
    <w:bookmarkStart w:id="240" w:name="section"/>
    <w:p>
      <w:pPr>
        <w:pStyle w:val="Ttulo3"/>
      </w:pPr>
      <w:r>
        <w:drawing>
          <wp:inline>
            <wp:extent cx="3778885" cy="2755265"/>
            <wp:effectExtent b="0" l="0" r="0" t="0"/>
            <wp:docPr descr="" title="" id="235" name="Picture"/>
            <a:graphic>
              <a:graphicData uri="http://schemas.openxmlformats.org/drawingml/2006/picture">
                <pic:pic>
                  <pic:nvPicPr>
                    <pic:cNvPr descr="./images/media/image10.png" id="236" name="Picture"/>
                    <pic:cNvPicPr>
                      <a:picLocks noChangeArrowheads="1" noChangeAspect="1"/>
                    </pic:cNvPicPr>
                  </pic:nvPicPr>
                  <pic:blipFill>
                    <a:blip r:embed="rId234"/>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r>
        <w:drawing>
          <wp:inline>
            <wp:extent cx="2731135" cy="2339340"/>
            <wp:effectExtent b="0" l="0" r="0" t="0"/>
            <wp:docPr descr="" title="" id="238" name="Picture"/>
            <a:graphic>
              <a:graphicData uri="http://schemas.openxmlformats.org/drawingml/2006/picture">
                <pic:pic>
                  <pic:nvPicPr>
                    <pic:cNvPr descr="./images/media/image11.png" id="239" name="Picture"/>
                    <pic:cNvPicPr>
                      <a:picLocks noChangeArrowheads="1" noChangeAspect="1"/>
                    </pic:cNvPicPr>
                  </pic:nvPicPr>
                  <pic:blipFill>
                    <a:blip r:embed="rId237"/>
                    <a:stretch>
                      <a:fillRect/>
                    </a:stretch>
                  </pic:blipFill>
                  <pic:spPr bwMode="auto">
                    <a:xfrm>
                      <a:off x="0" y="0"/>
                      <a:ext cx="2731135" cy="2339340"/>
                    </a:xfrm>
                    <a:prstGeom prst="rect">
                      <a:avLst/>
                    </a:prstGeom>
                    <a:noFill/>
                    <a:ln w="9525">
                      <a:noFill/>
                      <a:headEnd/>
                      <a:tailEnd/>
                    </a:ln>
                  </pic:spPr>
                </pic:pic>
              </a:graphicData>
            </a:graphic>
          </wp:inline>
        </w:drawing>
      </w: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40"/>
    <w:bookmarkStart w:id="250"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2" name="Picture"/>
            <a:graphic>
              <a:graphicData uri="http://schemas.openxmlformats.org/drawingml/2006/picture">
                <pic:pic>
                  <pic:nvPicPr>
                    <pic:cNvPr descr="./images/media/image12.png" id="243" name="Picture"/>
                    <pic:cNvPicPr>
                      <a:picLocks noChangeArrowheads="1" noChangeAspect="1"/>
                    </pic:cNvPicPr>
                  </pic:nvPicPr>
                  <pic:blipFill>
                    <a:blip r:embed="rId241"/>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5" name="Picture"/>
            <a:graphic>
              <a:graphicData uri="http://schemas.openxmlformats.org/drawingml/2006/picture">
                <pic:pic>
                  <pic:nvPicPr>
                    <pic:cNvPr descr="./images/media/image13.png" id="246" name="Picture"/>
                    <pic:cNvPicPr>
                      <a:picLocks noChangeArrowheads="1" noChangeAspect="1"/>
                    </pic:cNvPicPr>
                  </pic:nvPicPr>
                  <pic:blipFill>
                    <a:blip r:embed="rId244"/>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8" name="Picture"/>
            <a:graphic>
              <a:graphicData uri="http://schemas.openxmlformats.org/drawingml/2006/picture">
                <pic:pic>
                  <pic:nvPicPr>
                    <pic:cNvPr descr="./images/media/image14.png" id="249" name="Picture"/>
                    <pic:cNvPicPr>
                      <a:picLocks noChangeArrowheads="1" noChangeAspect="1"/>
                    </pic:cNvPicPr>
                  </pic:nvPicPr>
                  <pic:blipFill>
                    <a:blip r:embed="rId247"/>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50"/>
    <w:bookmarkStart w:id="254"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2" name="Picture"/>
            <a:graphic>
              <a:graphicData uri="http://schemas.openxmlformats.org/drawingml/2006/picture">
                <pic:pic>
                  <pic:nvPicPr>
                    <pic:cNvPr descr="./images/media/image15.png" id="253" name="Picture"/>
                    <pic:cNvPicPr>
                      <a:picLocks noChangeArrowheads="1" noChangeAspect="1"/>
                    </pic:cNvPicPr>
                  </pic:nvPicPr>
                  <pic:blipFill>
                    <a:blip r:embed="rId251"/>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4"/>
    <w:bookmarkStart w:id="264"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6" name="Picture"/>
            <a:graphic>
              <a:graphicData uri="http://schemas.openxmlformats.org/drawingml/2006/picture">
                <pic:pic>
                  <pic:nvPicPr>
                    <pic:cNvPr descr="./images/media/image16.png" id="257" name="Picture"/>
                    <pic:cNvPicPr>
                      <a:picLocks noChangeArrowheads="1" noChangeAspect="1"/>
                    </pic:cNvPicPr>
                  </pic:nvPicPr>
                  <pic:blipFill>
                    <a:blip r:embed="rId255"/>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9" name="Picture"/>
            <a:graphic>
              <a:graphicData uri="http://schemas.openxmlformats.org/drawingml/2006/picture">
                <pic:pic>
                  <pic:nvPicPr>
                    <pic:cNvPr descr="./images/media/image17.png" id="260" name="Picture"/>
                    <pic:cNvPicPr>
                      <a:picLocks noChangeArrowheads="1" noChangeAspect="1"/>
                    </pic:cNvPicPr>
                  </pic:nvPicPr>
                  <pic:blipFill>
                    <a:blip r:embed="rId258"/>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2" name="Picture"/>
            <a:graphic>
              <a:graphicData uri="http://schemas.openxmlformats.org/drawingml/2006/picture">
                <pic:pic>
                  <pic:nvPicPr>
                    <pic:cNvPr descr="./images/media/image18.png" id="263" name="Picture"/>
                    <pic:cNvPicPr>
                      <a:picLocks noChangeArrowheads="1" noChangeAspect="1"/>
                    </pic:cNvPicPr>
                  </pic:nvPicPr>
                  <pic:blipFill>
                    <a:blip r:embed="rId261"/>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4"/>
    <w:bookmarkEnd w:id="265"/>
    <w:bookmarkEnd w:id="266"/>
    <w:bookmarkStart w:id="267" w:name="fase-2-soa-objetivo"/>
    <w:p>
      <w:pPr>
        <w:pStyle w:val="Ttulo1"/>
      </w:pPr>
      <w:r>
        <w:t xml:space="preserve">Fase 2: SOA Objetivo</w:t>
      </w:r>
    </w:p>
    <w:bookmarkEnd w:id="267"/>
    <w:bookmarkStart w:id="268" w:name="X07b3a00b5f5fc91de94900ce5498c32360db804"/>
    <w:p>
      <w:pPr>
        <w:pStyle w:val="Ttulo1"/>
      </w:pPr>
      <w:r>
        <w:t xml:space="preserve">Contenido de los Productos Contractuales, 181-2020</w:t>
      </w:r>
    </w:p>
    <w:bookmarkEnd w:id="268"/>
    <w:bookmarkStart w:id="301"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9"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9"/>
    <w:bookmarkStart w:id="270"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70"/>
    <w:bookmarkStart w:id="271"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9652d0b</w:t>
            </w:r>
            <w:r>
              <w:t xml:space="preserve"> </w:t>
            </w:r>
            <w:r>
              <w:t xml:space="preserve">del 07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71"/>
    <w:bookmarkStart w:id="272"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2"/>
    <w:bookmarkStart w:id="284" w:name="vista-funcional"/>
    <w:p>
      <w:pPr>
        <w:pStyle w:val="Ttulo2"/>
      </w:pPr>
      <w:r>
        <w:t xml:space="preserve">Vista Funcional</w:t>
      </w:r>
    </w:p>
    <w:bookmarkStart w:id="276"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4" name="Picture"/>
            <a:graphic>
              <a:graphicData uri="http://schemas.openxmlformats.org/drawingml/2006/picture">
                <pic:pic>
                  <pic:nvPicPr>
                    <pic:cNvPr descr="images/arq/media/image1.png" id="275" name="Picture"/>
                    <pic:cNvPicPr>
                      <a:picLocks noChangeArrowheads="1" noChangeAspect="1"/>
                    </pic:cNvPicPr>
                  </pic:nvPicPr>
                  <pic:blipFill>
                    <a:blip r:embed="rId273"/>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6"/>
    <w:bookmarkStart w:id="283"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8" name="Picture"/>
            <a:graphic>
              <a:graphicData uri="http://schemas.openxmlformats.org/drawingml/2006/picture">
                <pic:pic>
                  <pic:nvPicPr>
                    <pic:cNvPr descr="images/arq/media/image1.1.png" id="279" name="Picture"/>
                    <pic:cNvPicPr>
                      <a:picLocks noChangeArrowheads="1" noChangeAspect="1"/>
                    </pic:cNvPicPr>
                  </pic:nvPicPr>
                  <pic:blipFill>
                    <a:blip r:embed="rId277"/>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r>
        <w:t xml:space="preserve"> </w:t>
      </w:r>
      <w:r>
        <w:rPr>
          <w:bCs/>
          <w:b/>
        </w:rPr>
        <w:t xml:space="preserve">Nivel de detalle 2</w:t>
      </w:r>
    </w:p>
    <w:p>
      <w:pPr>
        <w:pStyle w:val="Figure"/>
      </w:pPr>
      <w:r>
        <w:drawing>
          <wp:inline>
            <wp:extent cx="5600700" cy="3015761"/>
            <wp:effectExtent b="0" l="0" r="0" t="0"/>
            <wp:docPr descr="" title="" id="281" name="Picture"/>
            <a:graphic>
              <a:graphicData uri="http://schemas.openxmlformats.org/drawingml/2006/picture">
                <pic:pic>
                  <pic:nvPicPr>
                    <pic:cNvPr descr="images/arq/media/image2.png" id="282" name="Picture"/>
                    <pic:cNvPicPr>
                      <a:picLocks noChangeArrowheads="1" noChangeAspect="1"/>
                    </pic:cNvPicPr>
                  </pic:nvPicPr>
                  <pic:blipFill>
                    <a:blip r:embed="rId280"/>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9652d0b</w:t>
            </w:r>
            <w:r>
              <w:t xml:space="preserve"> </w:t>
            </w:r>
            <w:r>
              <w:t xml:space="preserve">del 07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83"/>
    <w:bookmarkEnd w:id="284"/>
    <w:bookmarkStart w:id="294"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8" w:name="pilares-de-la-malla-de-datos-data-mesh"/>
    <w:p>
      <w:pPr>
        <w:pStyle w:val="Ttulo3"/>
      </w:pPr>
      <w:r>
        <w:t xml:space="preserve">Pilares de la malla de datos (Data Mesh)</w:t>
      </w:r>
    </w:p>
    <w:p>
      <w:pPr>
        <w:pStyle w:val="Figure"/>
      </w:pPr>
      <w:r>
        <w:drawing>
          <wp:inline>
            <wp:extent cx="5600700" cy="2812390"/>
            <wp:effectExtent b="0" l="0" r="0" t="0"/>
            <wp:docPr descr="" title="" id="286" name="Picture"/>
            <a:graphic>
              <a:graphicData uri="http://schemas.openxmlformats.org/drawingml/2006/picture">
                <pic:pic>
                  <pic:nvPicPr>
                    <pic:cNvPr descr="./images/d1/media/image1.png" id="287" name="Picture"/>
                    <pic:cNvPicPr>
                      <a:picLocks noChangeArrowheads="1" noChangeAspect="1"/>
                    </pic:cNvPicPr>
                  </pic:nvPicPr>
                  <pic:blipFill>
                    <a:blip r:embed="rId285"/>
                    <a:stretch>
                      <a:fillRect/>
                    </a:stretch>
                  </pic:blipFill>
                  <pic:spPr bwMode="auto">
                    <a:xfrm>
                      <a:off x="0" y="0"/>
                      <a:ext cx="5600700" cy="2812390"/>
                    </a:xfrm>
                    <a:prstGeom prst="rect">
                      <a:avLst/>
                    </a:prstGeom>
                    <a:noFill/>
                    <a:ln w="9525">
                      <a:noFill/>
                      <a:headEnd/>
                      <a:tailEnd/>
                    </a:ln>
                  </pic:spPr>
                </pic:pic>
              </a:graphicData>
            </a:graphic>
          </wp:inline>
        </w:drawing>
      </w:r>
    </w:p>
    <w:bookmarkEnd w:id="288"/>
    <w:bookmarkStart w:id="292" w:name="arquitectura-to-be"/>
    <w:p>
      <w:pPr>
        <w:pStyle w:val="Ttulo3"/>
      </w:pPr>
      <w:r>
        <w:t xml:space="preserve">Arquitectura To Be</w:t>
      </w:r>
    </w:p>
    <w:p>
      <w:pPr>
        <w:pStyle w:val="Figure"/>
      </w:pPr>
      <w:r>
        <w:drawing>
          <wp:inline>
            <wp:extent cx="5600700" cy="3241409"/>
            <wp:effectExtent b="0" l="0" r="0" t="0"/>
            <wp:docPr descr="" title="" id="290" name="Picture"/>
            <a:graphic>
              <a:graphicData uri="http://schemas.openxmlformats.org/drawingml/2006/picture">
                <pic:pic>
                  <pic:nvPicPr>
                    <pic:cNvPr descr="./images/d1/media/image2.png" id="291" name="Picture"/>
                    <pic:cNvPicPr>
                      <a:picLocks noChangeArrowheads="1" noChangeAspect="1"/>
                    </pic:cNvPicPr>
                  </pic:nvPicPr>
                  <pic:blipFill>
                    <a:blip r:embed="rId289"/>
                    <a:stretch>
                      <a:fillRect/>
                    </a:stretch>
                  </pic:blipFill>
                  <pic:spPr bwMode="auto">
                    <a:xfrm>
                      <a:off x="0" y="0"/>
                      <a:ext cx="5600700" cy="3241409"/>
                    </a:xfrm>
                    <a:prstGeom prst="rect">
                      <a:avLst/>
                    </a:prstGeom>
                    <a:noFill/>
                    <a:ln w="9525">
                      <a:noFill/>
                      <a:headEnd/>
                      <a:tailEnd/>
                    </a:ln>
                  </pic:spPr>
                </pic:pic>
              </a:graphicData>
            </a:graphic>
          </wp:inline>
        </w:drawing>
      </w:r>
    </w:p>
    <w:bookmarkEnd w:id="292"/>
    <w:bookmarkStart w:id="293"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9652d0b</w:t>
            </w:r>
            <w:r>
              <w:t xml:space="preserve"> </w:t>
            </w:r>
            <w:r>
              <w:t xml:space="preserve">del 07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93"/>
    <w:bookmarkEnd w:id="294"/>
    <w:bookmarkStart w:id="300" w:name="X977bbe37bef14937693b10e0cee7f95bb19a3a8"/>
    <w:p>
      <w:pPr>
        <w:pStyle w:val="Ttulo2"/>
      </w:pPr>
      <w:r>
        <w:t xml:space="preserve">Arquitectura de Infraestructura Candidata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bookmarkStart w:id="298" w:name="arquitectura-to-be-1"/>
    <w:p>
      <w:pPr>
        <w:pStyle w:val="Ttulo3"/>
      </w:pPr>
      <w:r>
        <w:t xml:space="preserve">Arquitectura To Be</w:t>
      </w:r>
    </w:p>
    <w:p>
      <w:pPr>
        <w:pStyle w:val="Figure"/>
      </w:pPr>
      <w:r>
        <w:drawing>
          <wp:inline>
            <wp:extent cx="5600700" cy="3241409"/>
            <wp:effectExtent b="0" l="0" r="0" t="0"/>
            <wp:docPr descr="" title="" id="296" name="Picture"/>
            <a:graphic>
              <a:graphicData uri="http://schemas.openxmlformats.org/drawingml/2006/picture">
                <pic:pic>
                  <pic:nvPicPr>
                    <pic:cNvPr descr="./images/infra1/media/image1.png" id="297" name="Picture"/>
                    <pic:cNvPicPr>
                      <a:picLocks noChangeArrowheads="1" noChangeAspect="1"/>
                    </pic:cNvPicPr>
                  </pic:nvPicPr>
                  <pic:blipFill>
                    <a:blip r:embed="rId295"/>
                    <a:stretch>
                      <a:fillRect/>
                    </a:stretch>
                  </pic:blipFill>
                  <pic:spPr bwMode="auto">
                    <a:xfrm>
                      <a:off x="0" y="0"/>
                      <a:ext cx="5600700" cy="3241409"/>
                    </a:xfrm>
                    <a:prstGeom prst="rect">
                      <a:avLst/>
                    </a:prstGeom>
                    <a:noFill/>
                    <a:ln w="9525">
                      <a:noFill/>
                      <a:headEnd/>
                      <a:tailEnd/>
                    </a:ln>
                  </pic:spPr>
                </pic:pic>
              </a:graphicData>
            </a:graphic>
          </wp:inline>
        </w:drawing>
      </w:r>
    </w:p>
    <w:bookmarkEnd w:id="298"/>
    <w:bookmarkStart w:id="299"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r>
        <w:t xml:space="preserve"> </w:t>
      </w:r>
      <w:r>
        <w:rPr>
          <w:bCs/>
          <w:b/>
        </w:rPr>
        <w:t xml:space="preserve">Enfoque de microservicios</w:t>
      </w:r>
      <w:r>
        <w:t xml:space="preserve">: Permite obetener capacidad de cómputo particular según sea requerido para soportar la carga.</w:t>
      </w:r>
      <w:r>
        <w:t xml:space="preserve"> </w:t>
      </w: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r>
        <w:t xml:space="preserve"> </w:t>
      </w: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299"/>
    <w:bookmarkEnd w:id="300"/>
    <w:bookmarkEnd w:id="301"/>
    <w:bookmarkStart w:id="302" w:name="fase-2-soa-objetivo-1"/>
    <w:p>
      <w:pPr>
        <w:pStyle w:val="Ttulo1"/>
      </w:pPr>
      <w:r>
        <w:t xml:space="preserve">Fase 2: SOA Objetivo</w:t>
      </w:r>
    </w:p>
    <w:bookmarkEnd w:id="302"/>
    <w:bookmarkStart w:id="303" w:name="Xbe911d7c278a50d04b5b6b9edcb221ad80ef741"/>
    <w:p>
      <w:pPr>
        <w:pStyle w:val="Ttulo1"/>
      </w:pPr>
      <w:r>
        <w:t xml:space="preserve">Contenido de los Productos Contractuales, 181-2020</w:t>
      </w:r>
    </w:p>
    <w:bookmarkEnd w:id="303"/>
    <w:bookmarkStart w:id="308" w:name="X182d828ef545054f141de4a00f26adeb3f3bb60"/>
    <w:p>
      <w:pPr>
        <w:pStyle w:val="Ttulo1"/>
      </w:pPr>
      <w:r>
        <w:t xml:space="preserve">Producto 9: PR9. Portafolio de Inciativas y Brechas</w:t>
      </w:r>
    </w:p>
    <w:p>
      <w:pPr>
        <w:pStyle w:val="FirstParagraph"/>
      </w:pPr>
      <w:r>
        <w:t xml:space="preserve">La técnica del portafolio de brechas es utilizada en el desarrollo de este ejercicio de diagnóstico SOA del FNA para analizar la situación actual SOA (Fase 1 del proyecto) desde la perspectiva de proyectos ejecutables. La idea principal del análisis de brecha es resaltar los proyectos o ítems omitidos, o por definir, entre la situación actual SOA del FNA y la situación objetivo, incluso cuando esta última está todavía en evolución. Lo anterior da origen al portafolio de iniciativas priorizadas que ser ejecutadas cierra las brechas analizadas.</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305" w:name="justificación-4"/>
    <w:p>
      <w:pPr>
        <w:pStyle w:val="Ttulo2"/>
      </w:pPr>
      <w:r>
        <w:t xml:space="preserve">Justificación</w:t>
      </w:r>
    </w:p>
    <w:p>
      <w:pPr>
        <w:pStyle w:val="FirstParagraph"/>
      </w:pPr>
      <w:r>
        <w:t xml:space="preserve">Asegurar que la arquitectura SOA del Fondo apegada a la</w:t>
      </w:r>
      <w:r>
        <w:t xml:space="preserve"> </w:t>
      </w:r>
      <w:hyperlink r:id="rId304">
        <w:r>
          <w:rPr>
            <w:rStyle w:val="Hipervnculo"/>
          </w:rPr>
          <w:t xml:space="preserve">Vista de Segmento FNA</w:t>
        </w:r>
      </w:hyperlink>
      <w:r>
        <w:t xml:space="preserve"> </w:t>
      </w:r>
      <w:r>
        <w:t xml:space="preserve">soporte al procesamiento de información, a los sistemas de información, a las capacidades de negocio, y tecnologías requeridas para cumplir los objetivos de este ejercicio de diagnóstico SOA. Dar continuidad y orden al impacto y realiación de los cambios entre evoluciones de la arquitectura SOA.</w:t>
      </w:r>
    </w:p>
    <w:bookmarkEnd w:id="305"/>
    <w:bookmarkStart w:id="306" w:name="contenidos-4"/>
    <w:p>
      <w:pPr>
        <w:pStyle w:val="Ttulo2"/>
      </w:pPr>
      <w:r>
        <w:t xml:space="preserve">Contenidos</w:t>
      </w:r>
    </w:p>
    <w:p>
      <w:pPr>
        <w:numPr>
          <w:ilvl w:val="0"/>
          <w:numId w:val="1033"/>
        </w:numPr>
        <w:pStyle w:val="Compact"/>
      </w:pPr>
      <w:r>
        <w:t xml:space="preserve">Arquitectura SOA candidata para el segmento FNA (vista de segmento)</w:t>
      </w:r>
    </w:p>
    <w:p>
      <w:pPr>
        <w:numPr>
          <w:ilvl w:val="0"/>
          <w:numId w:val="1033"/>
        </w:numPr>
        <w:pStyle w:val="Compact"/>
      </w:pPr>
      <w:r>
        <w:t xml:space="preserve">Matriz de brechas de las partes del segmento FNA</w:t>
      </w:r>
    </w:p>
    <w:p>
      <w:pPr>
        <w:numPr>
          <w:ilvl w:val="0"/>
          <w:numId w:val="1033"/>
        </w:numPr>
        <w:pStyle w:val="Compact"/>
      </w:pPr>
      <w:r>
        <w:t xml:space="preserve">Bloques de cambios para el segmento FNA: ítems por retener, rediseñar, actualizar, retirar</w:t>
      </w:r>
    </w:p>
    <w:p>
      <w:pPr>
        <w:numPr>
          <w:ilvl w:val="0"/>
          <w:numId w:val="1033"/>
        </w:numPr>
        <w:pStyle w:val="Compact"/>
      </w:pPr>
      <w:r>
        <w:t xml:space="preserve">Análisis de impacto y dependencia entre los cambios en el segmento de la empresa</w:t>
      </w:r>
    </w:p>
    <w:p>
      <w:pPr>
        <w:numPr>
          <w:ilvl w:val="0"/>
          <w:numId w:val="1033"/>
        </w:numPr>
        <w:pStyle w:val="Compact"/>
      </w:pPr>
      <w:r>
        <w:t xml:space="preserve">Ficha descriptiva de iniciativas de mejora para el segmento FNA (justificación)</w:t>
      </w:r>
    </w:p>
    <w:p>
      <w:pPr>
        <w:numPr>
          <w:ilvl w:val="0"/>
          <w:numId w:val="1033"/>
        </w:numPr>
        <w:pStyle w:val="Compact"/>
      </w:pPr>
      <w:r>
        <w:t xml:space="preserve">Hoja de ruta preliminar hacia un objetivo de mejora</w:t>
      </w:r>
    </w:p>
    <w:p>
      <w:pPr>
        <w:pStyle w:val="FirstParagraph"/>
      </w:pPr>
    </w:p>
    <w:bookmarkEnd w:id="306"/>
    <w:bookmarkStart w:id="307" w:name="criterios-de-aceptación-4"/>
    <w:p>
      <w:pPr>
        <w:pStyle w:val="Ttulo2"/>
      </w:pPr>
      <w:r>
        <w:t xml:space="preserve">Criterios de Aceptación</w:t>
      </w:r>
    </w:p>
    <w:p>
      <w:pPr>
        <w:numPr>
          <w:ilvl w:val="0"/>
          <w:numId w:val="1034"/>
        </w:numPr>
        <w:pStyle w:val="Compact"/>
      </w:pPr>
      <w:r>
        <w:t xml:space="preserve">Lista de cambios para el segmento FNA: ítems incluídos, por mejorar, nuevos y eliminados</w:t>
      </w:r>
    </w:p>
    <w:p>
      <w:pPr>
        <w:numPr>
          <w:ilvl w:val="0"/>
          <w:numId w:val="1034"/>
        </w:numPr>
        <w:pStyle w:val="Compact"/>
      </w:pPr>
      <w:r>
        <w:t xml:space="preserve">Hoja de ruta preliminar hacia un objetivo de mejora</w:t>
      </w:r>
    </w:p>
    <w:p>
      <w:r>
        <w:pict>
          <v:rect style="width:0;height:1.5pt" o:hralign="center" o:hrstd="t" o:hr="t"/>
        </w:pict>
      </w:r>
    </w:p>
    <w:bookmarkEnd w:id="307"/>
    <w:bookmarkEnd w:id="308"/>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295" Target="media/rId295.png" /><Relationship Type="http://schemas.openxmlformats.org/officeDocument/2006/relationships/image" Id="rId201" Target="media/rId20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277" Target="media/rId277.png" /><Relationship Type="http://schemas.openxmlformats.org/officeDocument/2006/relationships/image" Id="rId273" Target="media/rId273.png" /><Relationship Type="http://schemas.openxmlformats.org/officeDocument/2006/relationships/image" Id="rId280" Target="media/rId280.png" /><Relationship Type="http://schemas.openxmlformats.org/officeDocument/2006/relationships/image" Id="rId91" Target="media/rId91.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9652d0b9bbd535da61db6c325f52756cd1483866" TargetMode="External" /><Relationship Type="http://schemas.openxmlformats.org/officeDocument/2006/relationships/hyperlink" Id="rId20" Target="https://hwong23.github.io/fna-devdocs-f2/v/9652d0b9bbd535da61db6c325f52756cd1483866/"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7"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04" Target="vistadesegmento.md"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9652d0b9bbd535da61db6c325f52756cd1483866" TargetMode="External" /><Relationship Type="http://schemas.openxmlformats.org/officeDocument/2006/relationships/hyperlink" Id="rId20" Target="https://hwong23.github.io/fna-devdocs-f2/v/9652d0b9bbd535da61db6c325f52756cd1483866/"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7"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04" Target="vistadesegmento.md"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2023-02-07T13:44:04Z</dcterms:created>
  <dcterms:modified xsi:type="dcterms:W3CDTF">2023-02-07T13:44:04Z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